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46465">
      <w:pPr>
        <w:pStyle w:val="33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6275705" cy="8709660"/>
            <wp:effectExtent l="0" t="0" r="10795" b="1524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75705" cy="8709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F2B71F">
      <w:pPr>
        <w:pStyle w:val="33"/>
        <w:keepNext w:val="0"/>
        <w:keepLines w:val="0"/>
        <w:widowControl/>
        <w:suppressLineNumbers w:val="0"/>
      </w:pPr>
    </w:p>
    <w:p w14:paraId="147716F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37B7DC5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238DBA3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0F2CE4E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85682D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Красная зона — зона высокого риска, к ней отнесены следующие категории:</w:t>
      </w:r>
    </w:p>
    <w:p w14:paraId="39E5E41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несовершеннолетние, состоящие на профилактическом учете в ПДН территориальных ОВД Республики Татарстан;</w:t>
      </w:r>
    </w:p>
    <w:p w14:paraId="436C47D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несовершеннолетние, проявляющие признаки девиантного, деструктивного поведения, аутоагрессии;</w:t>
      </w:r>
    </w:p>
    <w:p w14:paraId="2C0C8B6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14:paraId="784D8E4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5258A7D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несовершеннолетние сторонники движения «скулшутинг», «колумбайн»;</w:t>
      </w:r>
    </w:p>
    <w:p w14:paraId="2E2BBFC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 несовершеннолетние, занимающиеся «буллингом»;</w:t>
      </w:r>
    </w:p>
    <w:p w14:paraId="5F699CA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71AC48B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Желтая зона — зона повышенного риска, к ней отнесены следующие категории:</w:t>
      </w:r>
    </w:p>
    <w:p w14:paraId="796EE40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несовершеннолетние, непосещающие или систематически пропускающие занятия без уважительных причин (суммарно 15 дней);</w:t>
      </w:r>
    </w:p>
    <w:p w14:paraId="2E2EE67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несовершеннолетние, находящиеся в социально-опасном положении:</w:t>
      </w:r>
    </w:p>
    <w:p w14:paraId="584B474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а) безнадзорность или беспризорность;</w:t>
      </w:r>
    </w:p>
    <w:p w14:paraId="5AFB556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б) бродяжничество или попрошайничество;</w:t>
      </w:r>
    </w:p>
    <w:p w14:paraId="770810A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 w14:paraId="0B72E3E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несовершеннолетние, проживающие в семьях безработных родителей;</w:t>
      </w:r>
    </w:p>
    <w:p w14:paraId="519CFE1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0ECC798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555FA46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14:paraId="51322A1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несовершеннолетние, подвергшиеся «буллингу»;</w:t>
      </w:r>
    </w:p>
    <w:p w14:paraId="0C8613D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14:paraId="0EB4FF1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10. несовершеннолетние, подвергшиеся сексуальному насилию;</w:t>
      </w:r>
    </w:p>
    <w:p w14:paraId="50AC091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11. несовершеннолетние, прибывшие из зон боевых действий.</w:t>
      </w:r>
    </w:p>
    <w:p w14:paraId="72E4FC4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Зеленая зона — зона умеренного риска, к ней отнесены следующие категории:</w:t>
      </w:r>
    </w:p>
    <w:p w14:paraId="55B05DC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несовершеннолетние, неуспевающие по учебным предметам;</w:t>
      </w:r>
    </w:p>
    <w:p w14:paraId="6A0B927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14:paraId="58FE7E8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 несовершеннолетние, проживающие в неполной семье, с мачехой или отчимом;</w:t>
      </w:r>
    </w:p>
    <w:p w14:paraId="3649BE3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несовершеннолетние из малообеспеченных семей;</w:t>
      </w:r>
    </w:p>
    <w:p w14:paraId="4613196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дети-сироты, находящиеся под опекой;</w:t>
      </w:r>
    </w:p>
    <w:p w14:paraId="65C23A9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 дети-сироты, воспитывающиеся в замещающих семьях;</w:t>
      </w:r>
    </w:p>
    <w:p w14:paraId="674E993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несовершеннолетние, воспитывающиеся в государственных учреждениях;</w:t>
      </w:r>
    </w:p>
    <w:p w14:paraId="4D5864B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несовершеннолетние, проживающие в приемных семьях;</w:t>
      </w:r>
    </w:p>
    <w:p w14:paraId="531D825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14:paraId="2E1F5CF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10. несовершеннолетние, находящиеся на семейном обучении; </w:t>
      </w:r>
    </w:p>
    <w:p w14:paraId="043D48A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14:paraId="3E18932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 III. Основания для учета несовершеннолетних в образовательных организациях.</w:t>
      </w:r>
    </w:p>
    <w:p w14:paraId="4FD2BF6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6306742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09A3589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5A8B1AF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IV. Порядок учета несовершеннолетних в образовательных организациях.</w:t>
      </w:r>
    </w:p>
    <w:p w14:paraId="259705D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2DC90B1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14BA307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45E316C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33EDDBA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14:paraId="4710B68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14:paraId="6737A54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5CCD344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 нецелесообразности учета несовершеннолетнего.</w:t>
      </w:r>
    </w:p>
    <w:p w14:paraId="475BF95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2E7A2FA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20826BA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46691E5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родителей (законных представителей) несовершеннолетнего (красная и желтая зоны); </w:t>
      </w:r>
    </w:p>
    <w:p w14:paraId="49BECC2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37AB8D8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4B6129D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14:paraId="698F06F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2F0B97E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ACF9F7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14:paraId="3A2629B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651B516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4.6. В 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14:paraId="640DF8C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14:paraId="070D3AB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справка об установочных данных несовершеннолетнего;</w:t>
      </w:r>
    </w:p>
    <w:p w14:paraId="21924B3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акты обследования условий жизни несовершеннолетнего;</w:t>
      </w:r>
    </w:p>
    <w:p w14:paraId="045C0A1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59FC0C6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14:paraId="357431B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45A42E1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14:paraId="4688344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 несовершеннолетним работы;</w:t>
      </w:r>
    </w:p>
    <w:p w14:paraId="724AED3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3F7B849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009A697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ECC3D6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C5BEC4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14:paraId="2D84925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14:paraId="51EF346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14:paraId="60BA259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6041DBD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об установочных данных несовершеннолетнего;</w:t>
      </w:r>
    </w:p>
    <w:p w14:paraId="599B9ED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о закреплении куратора за обучающимся несовершеннолетним;</w:t>
      </w:r>
    </w:p>
    <w:p w14:paraId="4229B93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акты обследования условий жизни несовершеннолетнего;</w:t>
      </w:r>
    </w:p>
    <w:p w14:paraId="55B2FFF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F11AAA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14:paraId="73CC83E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07EE5BAB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14:paraId="5E3F5BB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14:paraId="3FADE52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0D3CDE1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31FDDE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891F6A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02B08D5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14:paraId="4A2ACAD9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V. Индивидуальные маршруты сопровождения для несовершеннолетних, состоящих на учете.</w:t>
      </w:r>
    </w:p>
    <w:p w14:paraId="66B4BFE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14:paraId="3F33B07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 (Приложение 1);</w:t>
      </w:r>
    </w:p>
    <w:p w14:paraId="3D052550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14:paraId="0975395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14:paraId="712693A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VI. Основания прекращения учета несовершеннолетних в образовательных организациях.</w:t>
      </w:r>
    </w:p>
    <w:p w14:paraId="6FFC4D74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6.1. Основаниями прекращения учета несовершеннолетних обучающихся в образовательной организации являются:</w:t>
      </w:r>
    </w:p>
    <w:p w14:paraId="3D3453D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а) прекращение образовательных отношений между несовершеннолетним и образовательной организацией;</w:t>
      </w:r>
    </w:p>
    <w:p w14:paraId="1B819DA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б) достижение восемнадцатилетнего возраста;</w:t>
      </w:r>
    </w:p>
    <w:p w14:paraId="5689BFC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7D8ED9E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6C4B78D8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6.3. В 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 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2667DA3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792AA75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 прекращении учета;</w:t>
      </w:r>
    </w:p>
    <w:p w14:paraId="7463E75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 смене зоны учета несовершеннолетнего;</w:t>
      </w:r>
    </w:p>
    <w:p w14:paraId="37AEC9F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478644EC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об отказе в прекращении учета.</w:t>
      </w:r>
    </w:p>
    <w:p w14:paraId="050EDCD1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2639F18E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17F48DD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1BF1F58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3278A7E6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14:paraId="59CDE70A"/>
    <w:p w14:paraId="72F235C0"/>
    <w:p w14:paraId="6440E8DE"/>
    <w:p w14:paraId="584CF66E"/>
    <w:p w14:paraId="56F7CFE6"/>
    <w:p w14:paraId="5D02CB0A"/>
    <w:p w14:paraId="4E59A2F1"/>
    <w:p w14:paraId="0282B927"/>
    <w:p w14:paraId="29667CBC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23280" cy="8217535"/>
            <wp:effectExtent l="0" t="0" r="1270" b="12065"/>
            <wp:docPr id="3" name="Изображение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821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97"/>
    <w:rsid w:val="00006D04"/>
    <w:rsid w:val="000B025F"/>
    <w:rsid w:val="00116978"/>
    <w:rsid w:val="00170CCF"/>
    <w:rsid w:val="003B2635"/>
    <w:rsid w:val="004D151E"/>
    <w:rsid w:val="005F2A5A"/>
    <w:rsid w:val="006A32A6"/>
    <w:rsid w:val="007332AF"/>
    <w:rsid w:val="007E22C5"/>
    <w:rsid w:val="00850734"/>
    <w:rsid w:val="00883612"/>
    <w:rsid w:val="009B7AF5"/>
    <w:rsid w:val="009D584D"/>
    <w:rsid w:val="00A01C5E"/>
    <w:rsid w:val="00AE3453"/>
    <w:rsid w:val="00B37858"/>
    <w:rsid w:val="00BB6F2D"/>
    <w:rsid w:val="00C83FC8"/>
    <w:rsid w:val="00D024F0"/>
    <w:rsid w:val="00DE16FE"/>
    <w:rsid w:val="00DF6797"/>
    <w:rsid w:val="00E43F0C"/>
    <w:rsid w:val="00ED7531"/>
    <w:rsid w:val="00F86214"/>
    <w:rsid w:val="00FC2BD5"/>
    <w:rsid w:val="17C02A93"/>
    <w:rsid w:val="3262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unhideWhenUsed/>
    <w:uiPriority w:val="99"/>
    <w:rPr>
      <w:vertAlign w:val="superscript"/>
    </w:rPr>
  </w:style>
  <w:style w:type="character" w:styleId="14">
    <w:name w:val="endnote reference"/>
    <w:semiHidden/>
    <w:unhideWhenUsed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Balloon Text"/>
    <w:basedOn w:val="1"/>
    <w:link w:val="18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7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caption"/>
    <w:basedOn w:val="1"/>
    <w:next w:val="1"/>
    <w:semiHidden/>
    <w:unhideWhenUsed/>
    <w:qFormat/>
    <w:uiPriority w:val="35"/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9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0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1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2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3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4">
    <w:name w:val="toc 1"/>
    <w:basedOn w:val="1"/>
    <w:next w:val="1"/>
    <w:unhideWhenUsed/>
    <w:qFormat/>
    <w:uiPriority w:val="39"/>
    <w:pPr>
      <w:spacing w:after="57"/>
    </w:pPr>
  </w:style>
  <w:style w:type="paragraph" w:styleId="25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6">
    <w:name w:val="table of figures"/>
    <w:basedOn w:val="1"/>
    <w:next w:val="1"/>
    <w:unhideWhenUsed/>
    <w:qFormat/>
    <w:uiPriority w:val="99"/>
    <w:pPr>
      <w:spacing w:after="0"/>
    </w:pPr>
  </w:style>
  <w:style w:type="paragraph" w:styleId="27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8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9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0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1">
    <w:name w:val="Title"/>
    <w:basedOn w:val="1"/>
    <w:next w:val="1"/>
    <w:link w:val="45"/>
    <w:qFormat/>
    <w:uiPriority w:val="10"/>
    <w:pPr>
      <w:spacing w:before="300"/>
      <w:contextualSpacing/>
    </w:pPr>
    <w:rPr>
      <w:sz w:val="48"/>
      <w:szCs w:val="48"/>
    </w:rPr>
  </w:style>
  <w:style w:type="paragraph" w:styleId="32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3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paragraph" w:styleId="34">
    <w:name w:val="Subtitle"/>
    <w:basedOn w:val="1"/>
    <w:next w:val="1"/>
    <w:link w:val="46"/>
    <w:qFormat/>
    <w:uiPriority w:val="11"/>
    <w:pPr>
      <w:spacing w:before="200"/>
    </w:pPr>
    <w:rPr>
      <w:sz w:val="24"/>
      <w:szCs w:val="24"/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6">
    <w:name w:val="Заголовок 1 Знак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Заголовок 2 Знак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8">
    <w:name w:val="Заголовок 3 Знак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Заголовок 4 Знак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Заголовок 5 Знак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Заголовок 6 Знак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Заголовок 7 Знак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Заголовок 8 Знак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Заголовок 9 Знак"/>
    <w:link w:val="10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5">
    <w:name w:val="Заголовок Знак"/>
    <w:link w:val="31"/>
    <w:qFormat/>
    <w:uiPriority w:val="10"/>
    <w:rPr>
      <w:sz w:val="48"/>
      <w:szCs w:val="48"/>
    </w:rPr>
  </w:style>
  <w:style w:type="character" w:customStyle="1" w:styleId="46">
    <w:name w:val="Подзаголовок Знак"/>
    <w:link w:val="34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Цитата 2 Знак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0">
    <w:name w:val="Выделенная цитата Знак"/>
    <w:link w:val="49"/>
    <w:qFormat/>
    <w:uiPriority w:val="30"/>
    <w:rPr>
      <w:i/>
    </w:rPr>
  </w:style>
  <w:style w:type="character" w:customStyle="1" w:styleId="51">
    <w:name w:val="Верхний колонтитул Знак"/>
    <w:link w:val="21"/>
    <w:qFormat/>
    <w:uiPriority w:val="99"/>
  </w:style>
  <w:style w:type="character" w:customStyle="1" w:styleId="52">
    <w:name w:val="Footer Char"/>
    <w:qFormat/>
    <w:uiPriority w:val="99"/>
  </w:style>
  <w:style w:type="character" w:customStyle="1" w:styleId="53">
    <w:name w:val="Нижний колонтитул Знак"/>
    <w:link w:val="32"/>
    <w:qFormat/>
    <w:uiPriority w:val="99"/>
  </w:style>
  <w:style w:type="table" w:customStyle="1" w:styleId="54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5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9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0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1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2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3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4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6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7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8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9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0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1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3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4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5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6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7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8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0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1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2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3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4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5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8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List Table 1 Light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1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2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3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4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5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6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8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9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0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1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2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3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5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9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2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3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4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5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6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7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39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0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1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2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3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4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6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3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0">
    <w:name w:val="Lined - Accent 2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1">
    <w:name w:val="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2">
    <w:name w:val="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3">
    <w:name w:val="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4">
    <w:name w:val="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5">
    <w:name w:val="Bordered &amp; Lined - Accent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7">
    <w:name w:val="Bordered &amp; Lined - Accent 2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8">
    <w:name w:val="Bordered &amp; Lined - Accent 3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9">
    <w:name w:val="Bordered &amp; Lined - Accent 4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0">
    <w:name w:val="Bordered &amp; Lined - Accent 5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1">
    <w:name w:val="Bordered &amp; Lined - Accent 6"/>
    <w:basedOn w:val="12"/>
    <w:qFormat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2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4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8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Текст сноски Знак"/>
    <w:link w:val="19"/>
    <w:uiPriority w:val="99"/>
    <w:rPr>
      <w:sz w:val="18"/>
    </w:rPr>
  </w:style>
  <w:style w:type="character" w:customStyle="1" w:styleId="180">
    <w:name w:val="Текст концевой сноски Знак"/>
    <w:link w:val="17"/>
    <w:uiPriority w:val="99"/>
    <w:rPr>
      <w:sz w:val="20"/>
    </w:rPr>
  </w:style>
  <w:style w:type="paragraph" w:customStyle="1" w:styleId="181">
    <w:name w:val="TOC Heading"/>
    <w:unhideWhenUsed/>
    <w:qFormat/>
    <w:uiPriority w:val="39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82">
    <w:name w:val="No Spacing"/>
    <w:basedOn w:val="1"/>
    <w:qFormat/>
    <w:uiPriority w:val="1"/>
    <w:pPr>
      <w:spacing w:after="0" w:line="240" w:lineRule="auto"/>
    </w:pPr>
  </w:style>
  <w:style w:type="paragraph" w:styleId="183">
    <w:name w:val="List Paragraph"/>
    <w:basedOn w:val="1"/>
    <w:qFormat/>
    <w:uiPriority w:val="34"/>
    <w:pPr>
      <w:ind w:left="720"/>
      <w:contextualSpacing/>
    </w:pPr>
  </w:style>
  <w:style w:type="paragraph" w:customStyle="1" w:styleId="184">
    <w:name w:val="Основной текст1"/>
    <w:qFormat/>
    <w:uiPriority w:val="1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  <w:jc w:val="both"/>
    </w:pPr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type="character" w:customStyle="1" w:styleId="185">
    <w:name w:val="Текст выноски Знак"/>
    <w:basedOn w:val="11"/>
    <w:link w:val="16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3211</Words>
  <Characters>18308</Characters>
  <Lines>152</Lines>
  <Paragraphs>42</Paragraphs>
  <TotalTime>45</TotalTime>
  <ScaleCrop>false</ScaleCrop>
  <LinksUpToDate>false</LinksUpToDate>
  <CharactersWithSpaces>21477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2025-09-25T20:32:00Z</dcterms:created>
  <dc:creator>Пользователь Windows</dc:creator>
  <cp:lastModifiedBy>Гулия</cp:lastModifiedBy>
  <cp:lastPrinted>2025-12-10T14:00:00Z</cp:lastPrinted>
  <dcterms:modified xsi:type="dcterms:W3CDTF">2026-01-19T08:18:36Z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5069ADDEFE4C4F17BF516A4D7A57EAE9_12</vt:lpwstr>
  </property>
</Properties>
</file>